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9A326E" w:rsidRDefault="005678CE" w:rsidP="005678CE">
      <w:pPr>
        <w:suppressAutoHyphens/>
        <w:spacing w:line="0" w:lineRule="atLeast"/>
      </w:pPr>
      <w:bookmarkStart w:id="0" w:name="page11"/>
      <w:bookmarkEnd w:id="0"/>
    </w:p>
    <w:tbl>
      <w:tblPr>
        <w:tblW w:w="0" w:type="auto"/>
        <w:tblInd w:w="122" w:type="dxa"/>
        <w:tblLook w:val="01E0"/>
      </w:tblPr>
      <w:tblGrid>
        <w:gridCol w:w="9625"/>
      </w:tblGrid>
      <w:tr w:rsidR="005678CE" w:rsidRPr="009A326E" w:rsidTr="00AB5C0D">
        <w:tc>
          <w:tcPr>
            <w:tcW w:w="9625" w:type="dxa"/>
          </w:tcPr>
          <w:p w:rsidR="005678CE" w:rsidRPr="00E84D6D" w:rsidRDefault="005678CE" w:rsidP="00E84D6D">
            <w:pPr>
              <w:suppressAutoHyphens/>
              <w:ind w:left="5832"/>
              <w:jc w:val="both"/>
              <w:rPr>
                <w:sz w:val="18"/>
                <w:szCs w:val="18"/>
              </w:rPr>
            </w:pPr>
            <w:r w:rsidRPr="00E84D6D">
              <w:rPr>
                <w:sz w:val="18"/>
                <w:szCs w:val="18"/>
              </w:rPr>
              <w:t>Приложение № 3</w:t>
            </w:r>
          </w:p>
          <w:p w:rsidR="005678CE" w:rsidRPr="00E84D6D" w:rsidRDefault="005678CE" w:rsidP="00E84D6D">
            <w:pPr>
              <w:suppressAutoHyphens/>
              <w:ind w:left="5832"/>
              <w:jc w:val="both"/>
              <w:rPr>
                <w:sz w:val="18"/>
                <w:szCs w:val="18"/>
              </w:rPr>
            </w:pPr>
            <w:r w:rsidRPr="00E84D6D">
              <w:rPr>
                <w:sz w:val="18"/>
                <w:szCs w:val="18"/>
              </w:rPr>
              <w:t>к Регламенту доверительного управления  ценными бумагами и денежными средствами, предназначенными для инвестирования в ценные бумаги в Акционерном обществе «СЕВЕРГАЗБАНК»</w:t>
            </w:r>
          </w:p>
          <w:p w:rsidR="005678CE" w:rsidRPr="009A326E" w:rsidRDefault="005678CE" w:rsidP="00E84D6D">
            <w:pPr>
              <w:suppressAutoHyphens/>
              <w:ind w:left="5832"/>
              <w:jc w:val="both"/>
              <w:rPr>
                <w:sz w:val="22"/>
                <w:szCs w:val="22"/>
                <w:lang w:val="en-US"/>
              </w:rPr>
            </w:pPr>
            <w:r w:rsidRPr="00E84D6D">
              <w:rPr>
                <w:sz w:val="18"/>
                <w:szCs w:val="18"/>
              </w:rPr>
              <w:t>№____ от ____ _____________ 20___ г.</w:t>
            </w:r>
          </w:p>
          <w:p w:rsidR="005678CE" w:rsidRPr="009A326E" w:rsidRDefault="005678CE" w:rsidP="00AB5C0D">
            <w:pPr>
              <w:suppressAutoHyphens/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:rsidR="005678CE" w:rsidRPr="009A326E" w:rsidRDefault="005678CE" w:rsidP="005678CE">
      <w:pPr>
        <w:shd w:val="clear" w:color="auto" w:fill="FFFFFF"/>
        <w:suppressAutoHyphens/>
        <w:jc w:val="center"/>
        <w:rPr>
          <w:b/>
          <w:bCs/>
          <w:sz w:val="22"/>
          <w:szCs w:val="22"/>
        </w:rPr>
      </w:pPr>
    </w:p>
    <w:p w:rsidR="005678CE" w:rsidRPr="009A326E" w:rsidRDefault="005678CE" w:rsidP="005678CE">
      <w:pPr>
        <w:shd w:val="clear" w:color="auto" w:fill="FFFFFF"/>
        <w:suppressAutoHyphens/>
        <w:jc w:val="center"/>
        <w:rPr>
          <w:b/>
          <w:bCs/>
          <w:sz w:val="22"/>
          <w:szCs w:val="22"/>
        </w:rPr>
      </w:pPr>
    </w:p>
    <w:p w:rsidR="005678CE" w:rsidRPr="009A326E" w:rsidRDefault="005678CE" w:rsidP="005678CE">
      <w:pPr>
        <w:shd w:val="clear" w:color="auto" w:fill="FFFFFF"/>
        <w:suppressAutoHyphens/>
        <w:jc w:val="center"/>
        <w:rPr>
          <w:b/>
          <w:bCs/>
          <w:sz w:val="22"/>
          <w:szCs w:val="22"/>
        </w:rPr>
      </w:pPr>
      <w:r w:rsidRPr="009A326E">
        <w:rPr>
          <w:b/>
          <w:bCs/>
          <w:sz w:val="22"/>
          <w:szCs w:val="22"/>
        </w:rPr>
        <w:t>ПЕРЕЧЕНЬ СТАНДАРТНЫХ СТРАТЕГИЙ УПРАВЛЕНИЯ</w:t>
      </w:r>
    </w:p>
    <w:p w:rsidR="005678CE" w:rsidRPr="009A326E" w:rsidRDefault="005678CE" w:rsidP="005678CE">
      <w:pPr>
        <w:shd w:val="clear" w:color="auto" w:fill="FFFFFF"/>
        <w:suppressAutoHyphens/>
        <w:jc w:val="center"/>
        <w:rPr>
          <w:b/>
          <w:bCs/>
          <w:sz w:val="12"/>
          <w:szCs w:val="12"/>
        </w:rPr>
      </w:pPr>
    </w:p>
    <w:p w:rsidR="005678CE" w:rsidRPr="009A326E" w:rsidRDefault="005678CE" w:rsidP="005678CE">
      <w:pPr>
        <w:pStyle w:val="af8"/>
        <w:jc w:val="center"/>
        <w:rPr>
          <w:b/>
          <w:i/>
          <w:sz w:val="22"/>
          <w:szCs w:val="22"/>
        </w:rPr>
      </w:pPr>
      <w:r w:rsidRPr="009A326E">
        <w:rPr>
          <w:b/>
          <w:i/>
          <w:sz w:val="22"/>
          <w:szCs w:val="22"/>
        </w:rPr>
        <w:t>действует в отношении Договоров доверительного управления, заключенных до 01 января 2025 года на условиях доверительного управления по Стандартным стратегиям</w:t>
      </w:r>
    </w:p>
    <w:p w:rsidR="005678CE" w:rsidRPr="009A326E" w:rsidRDefault="005678CE" w:rsidP="005678CE">
      <w:pPr>
        <w:pStyle w:val="affd"/>
        <w:tabs>
          <w:tab w:val="left" w:pos="1719"/>
        </w:tabs>
        <w:suppressAutoHyphens/>
        <w:spacing w:before="67" w:line="264" w:lineRule="auto"/>
        <w:ind w:left="0" w:firstLine="567"/>
        <w:jc w:val="both"/>
        <w:rPr>
          <w:sz w:val="12"/>
          <w:szCs w:val="12"/>
        </w:rPr>
      </w:pPr>
    </w:p>
    <w:p w:rsidR="005678CE" w:rsidRPr="009A326E" w:rsidRDefault="005678CE" w:rsidP="005678CE">
      <w:pPr>
        <w:pStyle w:val="affd"/>
        <w:tabs>
          <w:tab w:val="left" w:pos="1719"/>
        </w:tabs>
        <w:suppressAutoHyphens/>
        <w:spacing w:before="67" w:line="264" w:lineRule="auto"/>
        <w:ind w:left="0" w:firstLine="567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Общей целью доверительного управления по Стандартным стратегиям управления является обеспечение прироста стоимости активов Учредителя управления в соответствии со стандартным инвестиционным профилем Учредителя управления.</w:t>
      </w:r>
    </w:p>
    <w:p w:rsidR="005678CE" w:rsidRPr="009A326E" w:rsidRDefault="005678CE" w:rsidP="005678CE">
      <w:pPr>
        <w:pStyle w:val="affd"/>
        <w:tabs>
          <w:tab w:val="left" w:pos="1719"/>
        </w:tabs>
        <w:suppressAutoHyphens/>
        <w:spacing w:before="67" w:line="264" w:lineRule="auto"/>
        <w:ind w:left="0"/>
        <w:jc w:val="both"/>
        <w:rPr>
          <w:sz w:val="12"/>
          <w:szCs w:val="12"/>
        </w:rPr>
      </w:pPr>
    </w:p>
    <w:p w:rsidR="005678CE" w:rsidRPr="009A326E" w:rsidRDefault="005678CE" w:rsidP="005678CE">
      <w:pPr>
        <w:shd w:val="clear" w:color="auto" w:fill="FFFFFF"/>
        <w:suppressAutoHyphens/>
        <w:jc w:val="center"/>
        <w:rPr>
          <w:b/>
          <w:sz w:val="22"/>
          <w:szCs w:val="22"/>
        </w:rPr>
      </w:pPr>
      <w:r w:rsidRPr="009A326E">
        <w:rPr>
          <w:b/>
          <w:sz w:val="22"/>
          <w:szCs w:val="22"/>
        </w:rPr>
        <w:t>Стратегия управления «ИСКУССТВЕННЫЙ ИНТЕЛЛЕКТ»</w:t>
      </w:r>
    </w:p>
    <w:p w:rsidR="005678CE" w:rsidRPr="009A326E" w:rsidRDefault="005678CE" w:rsidP="005678CE">
      <w:pPr>
        <w:suppressAutoHyphens/>
        <w:ind w:left="5398"/>
        <w:jc w:val="right"/>
        <w:rPr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"/>
        <w:gridCol w:w="3661"/>
        <w:gridCol w:w="5720"/>
      </w:tblGrid>
      <w:tr w:rsidR="005678CE" w:rsidRPr="009A326E" w:rsidTr="00AB5C0D">
        <w:trPr>
          <w:trHeight w:val="847"/>
        </w:trPr>
        <w:tc>
          <w:tcPr>
            <w:tcW w:w="508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1</w:t>
            </w:r>
          </w:p>
        </w:tc>
        <w:tc>
          <w:tcPr>
            <w:tcW w:w="3661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Цель стратегии</w:t>
            </w:r>
          </w:p>
        </w:tc>
        <w:tc>
          <w:tcPr>
            <w:tcW w:w="5720" w:type="dxa"/>
            <w:vAlign w:val="center"/>
          </w:tcPr>
          <w:p w:rsidR="005678CE" w:rsidRPr="009A326E" w:rsidRDefault="005678CE" w:rsidP="00AB5C0D">
            <w:pPr>
              <w:suppressAutoHyphens/>
              <w:jc w:val="both"/>
            </w:pPr>
            <w:r w:rsidRPr="009A326E">
              <w:t xml:space="preserve">Максимальное увеличение стоимости инвестированных средств при готовности брать на себя риск снижения их стоимости  </w:t>
            </w:r>
            <w:r w:rsidRPr="009A326E">
              <w:rPr>
                <w:u w:val="single"/>
              </w:rPr>
              <w:t>выше среднего</w:t>
            </w:r>
          </w:p>
        </w:tc>
      </w:tr>
      <w:tr w:rsidR="005678CE" w:rsidRPr="009A326E" w:rsidTr="00AB5C0D">
        <w:tc>
          <w:tcPr>
            <w:tcW w:w="508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2</w:t>
            </w:r>
          </w:p>
        </w:tc>
        <w:tc>
          <w:tcPr>
            <w:tcW w:w="3661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Рекомендованный возраст Учредителя управления – физического лица</w:t>
            </w:r>
          </w:p>
        </w:tc>
        <w:tc>
          <w:tcPr>
            <w:tcW w:w="5720" w:type="dxa"/>
            <w:vAlign w:val="center"/>
          </w:tcPr>
          <w:p w:rsidR="005678CE" w:rsidRPr="009A326E" w:rsidRDefault="005678CE" w:rsidP="00AB5C0D">
            <w:pPr>
              <w:suppressAutoHyphens/>
              <w:ind w:firstLine="84"/>
              <w:jc w:val="center"/>
            </w:pPr>
            <w:r w:rsidRPr="009A326E">
              <w:t>От 18 до 65 лет</w:t>
            </w:r>
          </w:p>
        </w:tc>
      </w:tr>
      <w:tr w:rsidR="005678CE" w:rsidRPr="009A326E" w:rsidTr="00AB5C0D">
        <w:trPr>
          <w:trHeight w:val="827"/>
        </w:trPr>
        <w:tc>
          <w:tcPr>
            <w:tcW w:w="508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3</w:t>
            </w:r>
          </w:p>
        </w:tc>
        <w:tc>
          <w:tcPr>
            <w:tcW w:w="3661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Примерные среднемесячные доходы за последние 12 месяцев (для физических лиц)</w:t>
            </w:r>
          </w:p>
        </w:tc>
        <w:tc>
          <w:tcPr>
            <w:tcW w:w="5720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center"/>
              <w:rPr>
                <w:rFonts w:eastAsia="Arial" w:cs="Arial"/>
              </w:rPr>
            </w:pPr>
            <w:r w:rsidRPr="009A326E">
              <w:rPr>
                <w:rFonts w:eastAsia="Arial" w:cs="Arial"/>
              </w:rPr>
              <w:t>От 40 000 (сорок тысяч) рублей</w:t>
            </w:r>
          </w:p>
        </w:tc>
      </w:tr>
      <w:tr w:rsidR="005678CE" w:rsidRPr="009A326E" w:rsidTr="00AB5C0D">
        <w:trPr>
          <w:trHeight w:val="673"/>
        </w:trPr>
        <w:tc>
          <w:tcPr>
            <w:tcW w:w="508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4</w:t>
            </w:r>
          </w:p>
        </w:tc>
        <w:tc>
          <w:tcPr>
            <w:tcW w:w="3661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Примерные среднемесячные расходы за последние 12 месяцев (для физических лиц)</w:t>
            </w:r>
          </w:p>
        </w:tc>
        <w:tc>
          <w:tcPr>
            <w:tcW w:w="5720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center"/>
              <w:rPr>
                <w:rFonts w:eastAsia="Arial" w:cs="Arial"/>
              </w:rPr>
            </w:pPr>
            <w:r w:rsidRPr="009A326E">
              <w:rPr>
                <w:rFonts w:eastAsia="Arial" w:cs="Arial"/>
              </w:rPr>
              <w:t>В размере, отличающемся в меньшую сторону от среднего дохода на десять и более тысяч рублей</w:t>
            </w:r>
          </w:p>
        </w:tc>
      </w:tr>
      <w:tr w:rsidR="005678CE" w:rsidRPr="009A326E" w:rsidTr="00AB5C0D">
        <w:trPr>
          <w:trHeight w:val="1954"/>
        </w:trPr>
        <w:tc>
          <w:tcPr>
            <w:tcW w:w="508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5</w:t>
            </w:r>
          </w:p>
        </w:tc>
        <w:tc>
          <w:tcPr>
            <w:tcW w:w="3661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Перечень (состав) Объектов доверительного управления, которые вправе приобретать Управляющий при осуществлении деятельности по доверительному управлению ценными бумагами</w:t>
            </w:r>
          </w:p>
        </w:tc>
        <w:tc>
          <w:tcPr>
            <w:tcW w:w="5720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  <w:r w:rsidRPr="009A326E">
              <w:rPr>
                <w:rFonts w:cs="Arial"/>
              </w:rPr>
              <w:t>- государственные ценные бумаги Российской Федерации (ОФЗ);</w:t>
            </w:r>
          </w:p>
          <w:p w:rsidR="005678CE" w:rsidRPr="009A326E" w:rsidRDefault="005678CE" w:rsidP="00AB5C0D">
            <w:pPr>
              <w:suppressAutoHyphens/>
              <w:adjustRightInd w:val="0"/>
              <w:jc w:val="both"/>
            </w:pPr>
            <w:r w:rsidRPr="009A326E">
              <w:rPr>
                <w:rFonts w:eastAsia="Arial" w:cs="Arial"/>
              </w:rPr>
              <w:t xml:space="preserve">- </w:t>
            </w:r>
            <w:r w:rsidRPr="009A326E">
              <w:rPr>
                <w:rFonts w:eastAsia="Arial"/>
              </w:rPr>
              <w:t xml:space="preserve">денежные средства, в том числе на счетах в кредитных организациях, во вкладах в рублях РФ и/или </w:t>
            </w:r>
            <w:r w:rsidRPr="009A326E">
              <w:t xml:space="preserve">предоставленные по первой части договора репо с ОФЗ, акциями из базы расчета индекса </w:t>
            </w:r>
            <w:r w:rsidRPr="009A326E">
              <w:rPr>
                <w:rFonts w:eastAsia="Arial"/>
              </w:rPr>
              <w:t>МосБиржи (</w:t>
            </w:r>
            <w:r w:rsidRPr="009A326E">
              <w:rPr>
                <w:rFonts w:eastAsia="Arial"/>
                <w:lang w:val="en-US"/>
              </w:rPr>
              <w:t>IMOEX</w:t>
            </w:r>
            <w:r w:rsidRPr="009A326E">
              <w:rPr>
                <w:rFonts w:eastAsia="Arial"/>
              </w:rPr>
              <w:t xml:space="preserve">) </w:t>
            </w:r>
            <w:r w:rsidRPr="009A326E">
              <w:t>и/или по первой части договора репо с клиринговыми сертификатами участия, заключенного с Центральным контрагентом (</w:t>
            </w:r>
            <w:r w:rsidRPr="009A326E">
              <w:rPr>
                <w:rStyle w:val="extendedtext-short"/>
              </w:rPr>
              <w:t>НКО «Национальный Клиринговый Центр»)</w:t>
            </w:r>
            <w:r w:rsidRPr="009A326E">
              <w:rPr>
                <w:rFonts w:eastAsia="Arial"/>
              </w:rPr>
              <w:t>;</w:t>
            </w:r>
          </w:p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  <w:r w:rsidRPr="009A326E">
              <w:rPr>
                <w:rFonts w:cs="Arial"/>
              </w:rPr>
              <w:t xml:space="preserve">- акции российских и иностранных эмитентов, </w:t>
            </w:r>
            <w:r w:rsidRPr="009A326E">
              <w:t>допущенные к организованным торгам и включенные в котировальный список ПАО Московская биржа первого и/или второго уровней</w:t>
            </w:r>
          </w:p>
        </w:tc>
      </w:tr>
      <w:tr w:rsidR="005678CE" w:rsidRPr="009A326E" w:rsidTr="00AB5C0D">
        <w:tc>
          <w:tcPr>
            <w:tcW w:w="508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6</w:t>
            </w:r>
          </w:p>
        </w:tc>
        <w:tc>
          <w:tcPr>
            <w:tcW w:w="3661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Перечень групп эмитентов (по видам осуществляемой ими экономической деятельности), чьи ценные бумаги могут являться Объектами доверительного управления по Договору</w:t>
            </w:r>
          </w:p>
        </w:tc>
        <w:tc>
          <w:tcPr>
            <w:tcW w:w="5720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Не ограничивается</w:t>
            </w:r>
          </w:p>
        </w:tc>
      </w:tr>
      <w:tr w:rsidR="005678CE" w:rsidRPr="009A326E" w:rsidTr="00AB5C0D">
        <w:trPr>
          <w:trHeight w:val="333"/>
        </w:trPr>
        <w:tc>
          <w:tcPr>
            <w:tcW w:w="508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7</w:t>
            </w:r>
          </w:p>
        </w:tc>
        <w:tc>
          <w:tcPr>
            <w:tcW w:w="3661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Минимальная сумма Первоначального взноса</w:t>
            </w:r>
          </w:p>
        </w:tc>
        <w:tc>
          <w:tcPr>
            <w:tcW w:w="5720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center"/>
              <w:rPr>
                <w:rFonts w:cs="Arial"/>
                <w:b/>
              </w:rPr>
            </w:pPr>
            <w:r w:rsidRPr="009A326E">
              <w:rPr>
                <w:rFonts w:cs="Arial"/>
                <w:b/>
              </w:rPr>
              <w:t>300 000,00 (триста тысяч ) рублей</w:t>
            </w:r>
          </w:p>
        </w:tc>
      </w:tr>
      <w:tr w:rsidR="005678CE" w:rsidRPr="009A326E" w:rsidTr="00AB5C0D">
        <w:trPr>
          <w:trHeight w:val="409"/>
        </w:trPr>
        <w:tc>
          <w:tcPr>
            <w:tcW w:w="508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8</w:t>
            </w:r>
          </w:p>
        </w:tc>
        <w:tc>
          <w:tcPr>
            <w:tcW w:w="3661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Минимальная сумма Дополнительного взноса</w:t>
            </w:r>
          </w:p>
        </w:tc>
        <w:tc>
          <w:tcPr>
            <w:tcW w:w="5720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center"/>
              <w:rPr>
                <w:rFonts w:cs="Arial"/>
                <w:b/>
              </w:rPr>
            </w:pPr>
            <w:r w:rsidRPr="009A326E">
              <w:rPr>
                <w:rFonts w:cs="Arial"/>
                <w:b/>
              </w:rPr>
              <w:t>100 000,00 (сто тысяч) рублей</w:t>
            </w:r>
          </w:p>
        </w:tc>
      </w:tr>
      <w:tr w:rsidR="005678CE" w:rsidRPr="009A326E" w:rsidTr="00AB5C0D">
        <w:trPr>
          <w:trHeight w:val="274"/>
        </w:trPr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9</w:t>
            </w:r>
          </w:p>
        </w:tc>
        <w:tc>
          <w:tcPr>
            <w:tcW w:w="3661" w:type="dxa"/>
            <w:tcBorders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shd w:val="clear" w:color="auto" w:fill="FFFFFF"/>
              <w:suppressAutoHyphens/>
              <w:rPr>
                <w:bCs/>
                <w:spacing w:val="-3"/>
              </w:rPr>
            </w:pPr>
            <w:r w:rsidRPr="009A326E">
              <w:rPr>
                <w:bCs/>
                <w:spacing w:val="-3"/>
              </w:rPr>
              <w:t>Риски, связанные со Стратегией управления</w:t>
            </w:r>
          </w:p>
        </w:tc>
        <w:tc>
          <w:tcPr>
            <w:tcW w:w="5720" w:type="dxa"/>
            <w:vAlign w:val="center"/>
          </w:tcPr>
          <w:p w:rsidR="005678CE" w:rsidRPr="009A326E" w:rsidRDefault="005678CE" w:rsidP="00AB5C0D">
            <w:pPr>
              <w:shd w:val="clear" w:color="auto" w:fill="FFFFFF"/>
              <w:suppressAutoHyphens/>
              <w:jc w:val="both"/>
              <w:rPr>
                <w:b/>
              </w:rPr>
            </w:pPr>
            <w:r w:rsidRPr="009A326E">
              <w:rPr>
                <w:b/>
              </w:rPr>
              <w:t>Риски:</w:t>
            </w:r>
          </w:p>
          <w:p w:rsidR="005678CE" w:rsidRPr="009A326E" w:rsidRDefault="005678CE" w:rsidP="00AB5C0D">
            <w:pPr>
              <w:shd w:val="clear" w:color="auto" w:fill="FFFFFF"/>
              <w:suppressAutoHyphens/>
              <w:jc w:val="both"/>
            </w:pPr>
            <w:r w:rsidRPr="009A326E">
              <w:rPr>
                <w:b/>
              </w:rPr>
              <w:t>Системный, Рыночный, Кредитный</w:t>
            </w:r>
          </w:p>
          <w:p w:rsidR="005678CE" w:rsidRPr="009A326E" w:rsidRDefault="005678CE" w:rsidP="00AB5C0D">
            <w:pPr>
              <w:shd w:val="clear" w:color="auto" w:fill="FFFFFF"/>
              <w:suppressAutoHyphens/>
              <w:jc w:val="both"/>
            </w:pPr>
            <w:r w:rsidRPr="009A326E">
              <w:t xml:space="preserve">Более подробное описание рисков, связанных со Стратегией управления, представлено в Приложении № 6 к Регламенту </w:t>
            </w:r>
          </w:p>
        </w:tc>
      </w:tr>
      <w:tr w:rsidR="005678CE" w:rsidRPr="009A326E" w:rsidTr="00AB5C0D">
        <w:trPr>
          <w:trHeight w:val="699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10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hd w:val="clear" w:color="auto" w:fill="FFFFFF"/>
              <w:suppressAutoHyphens/>
              <w:rPr>
                <w:bCs/>
                <w:spacing w:val="-3"/>
              </w:rPr>
            </w:pPr>
            <w:r w:rsidRPr="009A326E">
              <w:rPr>
                <w:bCs/>
                <w:spacing w:val="-3"/>
              </w:rPr>
              <w:t>Информация о вознаграждении Управляющего в связи с доверительным управлением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hd w:val="clear" w:color="auto" w:fill="FFFFFF"/>
              <w:suppressAutoHyphens/>
              <w:jc w:val="both"/>
            </w:pPr>
            <w:r w:rsidRPr="009A326E">
              <w:t>Порядок расчета и выплаты вознаграждения Управляющего определен разделом 8 Регламента, Приложением № 13 к Регламенту, а также ставками, применяемыми в целях расчета вознаграждения Управляющего</w:t>
            </w:r>
          </w:p>
        </w:tc>
      </w:tr>
      <w:tr w:rsidR="005678CE" w:rsidRPr="009A326E" w:rsidTr="00AB5C0D">
        <w:trPr>
          <w:trHeight w:val="557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lastRenderedPageBreak/>
              <w:t>11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hd w:val="clear" w:color="auto" w:fill="FFFFFF"/>
              <w:suppressAutoHyphens/>
              <w:rPr>
                <w:bCs/>
                <w:spacing w:val="-3"/>
              </w:rPr>
            </w:pPr>
            <w:r w:rsidRPr="009A326E">
              <w:rPr>
                <w:bCs/>
                <w:spacing w:val="-3"/>
              </w:rPr>
              <w:t>Информация о расходах, связанных с доверительным управлением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hd w:val="clear" w:color="auto" w:fill="FFFFFF"/>
              <w:suppressAutoHyphens/>
            </w:pPr>
            <w:r w:rsidRPr="009A326E">
              <w:t xml:space="preserve">Перечень расходов, связанных с доверительным управлением, определен  разделом 8 Регламента </w:t>
            </w:r>
          </w:p>
        </w:tc>
      </w:tr>
      <w:tr w:rsidR="005678CE" w:rsidRPr="009A326E" w:rsidTr="00AB5C0D"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3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</w:p>
        </w:tc>
      </w:tr>
    </w:tbl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685"/>
        <w:gridCol w:w="2527"/>
        <w:gridCol w:w="1584"/>
        <w:gridCol w:w="1559"/>
      </w:tblGrid>
      <w:tr w:rsidR="005678CE" w:rsidRPr="009A326E" w:rsidTr="00AB5C0D">
        <w:trPr>
          <w:trHeight w:val="460"/>
        </w:trPr>
        <w:tc>
          <w:tcPr>
            <w:tcW w:w="534" w:type="dxa"/>
            <w:vMerge w:val="restart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12</w:t>
            </w:r>
          </w:p>
        </w:tc>
        <w:tc>
          <w:tcPr>
            <w:tcW w:w="3685" w:type="dxa"/>
            <w:vMerge w:val="restart"/>
            <w:tcBorders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Структура Объектов доверительного управления, которую обязан поддерживать Управляющий в течение всего срока действия Договора</w:t>
            </w:r>
          </w:p>
        </w:tc>
        <w:tc>
          <w:tcPr>
            <w:tcW w:w="2527" w:type="dxa"/>
            <w:tcBorders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9A326E">
              <w:rPr>
                <w:rFonts w:cs="Arial"/>
                <w:b/>
                <w:sz w:val="18"/>
                <w:szCs w:val="18"/>
              </w:rPr>
              <w:t>Вид Активов</w:t>
            </w:r>
          </w:p>
        </w:tc>
        <w:tc>
          <w:tcPr>
            <w:tcW w:w="1584" w:type="dxa"/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9A326E">
              <w:rPr>
                <w:rFonts w:cs="Arial"/>
                <w:b/>
                <w:sz w:val="18"/>
                <w:szCs w:val="18"/>
              </w:rPr>
              <w:t>Минимальная доля Активов в общем объеме (%)</w:t>
            </w:r>
          </w:p>
        </w:tc>
        <w:tc>
          <w:tcPr>
            <w:tcW w:w="1559" w:type="dxa"/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9A326E">
              <w:rPr>
                <w:rFonts w:cs="Arial"/>
                <w:b/>
                <w:sz w:val="18"/>
                <w:szCs w:val="18"/>
              </w:rPr>
              <w:t>Максимальная доля Активов в общем объеме (%)</w:t>
            </w:r>
          </w:p>
        </w:tc>
      </w:tr>
      <w:tr w:rsidR="005678CE" w:rsidRPr="009A326E" w:rsidTr="00AB5C0D">
        <w:trPr>
          <w:trHeight w:val="766"/>
        </w:trPr>
        <w:tc>
          <w:tcPr>
            <w:tcW w:w="534" w:type="dxa"/>
            <w:vMerge/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both"/>
              <w:rPr>
                <w:rFonts w:cs="Arial"/>
              </w:rPr>
            </w:pPr>
            <w:r w:rsidRPr="009A326E">
              <w:rPr>
                <w:rFonts w:cs="Arial"/>
              </w:rPr>
              <w:t>- государственные ценные бумаги Российской Федерации (ОФЗ)</w:t>
            </w:r>
          </w:p>
        </w:tc>
        <w:tc>
          <w:tcPr>
            <w:tcW w:w="1584" w:type="dxa"/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0</w:t>
            </w:r>
          </w:p>
        </w:tc>
        <w:tc>
          <w:tcPr>
            <w:tcW w:w="1559" w:type="dxa"/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100</w:t>
            </w:r>
          </w:p>
        </w:tc>
      </w:tr>
      <w:tr w:rsidR="005678CE" w:rsidRPr="009A326E" w:rsidTr="00AB5C0D">
        <w:trPr>
          <w:trHeight w:val="403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suppressAutoHyphens/>
              <w:adjustRightInd w:val="0"/>
              <w:jc w:val="both"/>
            </w:pPr>
            <w:r w:rsidRPr="009A326E">
              <w:rPr>
                <w:rFonts w:eastAsia="Arial" w:cs="Arial"/>
              </w:rPr>
              <w:t xml:space="preserve">- </w:t>
            </w:r>
            <w:r w:rsidRPr="009A326E">
              <w:rPr>
                <w:rFonts w:eastAsia="Arial"/>
              </w:rPr>
              <w:t xml:space="preserve">денежные средства, в том числе на счетах в кредитных организациях, во вкладах в рублях РФ и/или </w:t>
            </w:r>
            <w:r w:rsidRPr="009A326E">
              <w:t xml:space="preserve">предоставленные по первой части договора репо с ОФЗ, акциями из базы расчета индекса </w:t>
            </w:r>
            <w:r w:rsidRPr="009A326E">
              <w:rPr>
                <w:rFonts w:eastAsia="Arial"/>
              </w:rPr>
              <w:t>МосБиржи (</w:t>
            </w:r>
            <w:r w:rsidRPr="009A326E">
              <w:rPr>
                <w:rFonts w:eastAsia="Arial"/>
                <w:lang w:val="en-US"/>
              </w:rPr>
              <w:t>IMOEX</w:t>
            </w:r>
            <w:r w:rsidRPr="009A326E">
              <w:rPr>
                <w:rFonts w:eastAsia="Arial"/>
              </w:rPr>
              <w:t xml:space="preserve">) </w:t>
            </w:r>
            <w:r w:rsidRPr="009A326E">
              <w:t>и/или по первой части договора репо с клиринговыми сертификатами участия, заключенного с Центральным контрагентом (</w:t>
            </w:r>
            <w:r w:rsidRPr="009A326E">
              <w:rPr>
                <w:rStyle w:val="extendedtext-short"/>
              </w:rPr>
              <w:t>НКО «Национальный Клиринговый Центр»)</w:t>
            </w:r>
          </w:p>
        </w:tc>
        <w:tc>
          <w:tcPr>
            <w:tcW w:w="1584" w:type="dxa"/>
            <w:tcBorders>
              <w:left w:val="single" w:sz="4" w:space="0" w:color="auto"/>
            </w:tcBorders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0</w:t>
            </w:r>
          </w:p>
        </w:tc>
        <w:tc>
          <w:tcPr>
            <w:tcW w:w="1559" w:type="dxa"/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100</w:t>
            </w:r>
          </w:p>
        </w:tc>
      </w:tr>
      <w:tr w:rsidR="005678CE" w:rsidRPr="009A326E" w:rsidTr="00AB5C0D">
        <w:trPr>
          <w:trHeight w:val="1703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both"/>
              <w:rPr>
                <w:rFonts w:cs="Arial"/>
              </w:rPr>
            </w:pPr>
            <w:r w:rsidRPr="009A326E">
              <w:t>акции российских и иностранных эмитентов, допущенные к организованным торгам и включенные в котировальный список ПАО Московская биржа первого и/или второго уровней</w:t>
            </w:r>
          </w:p>
        </w:tc>
        <w:tc>
          <w:tcPr>
            <w:tcW w:w="1584" w:type="dxa"/>
            <w:tcBorders>
              <w:left w:val="single" w:sz="4" w:space="0" w:color="auto"/>
            </w:tcBorders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0</w:t>
            </w:r>
          </w:p>
        </w:tc>
        <w:tc>
          <w:tcPr>
            <w:tcW w:w="1559" w:type="dxa"/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100</w:t>
            </w:r>
          </w:p>
        </w:tc>
      </w:tr>
      <w:tr w:rsidR="005678CE" w:rsidRPr="009A326E" w:rsidTr="00AB5C0D">
        <w:trPr>
          <w:trHeight w:val="809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</w:pPr>
            <w:r w:rsidRPr="009A326E">
              <w:t>Соотношение между ценными бумагами различных групп эмитентов (по отраслевому или иному признаку)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Не ограничивается</w:t>
            </w:r>
          </w:p>
        </w:tc>
      </w:tr>
      <w:tr w:rsidR="005678CE" w:rsidRPr="009A326E" w:rsidTr="00AB5C0D">
        <w:trPr>
          <w:trHeight w:val="908"/>
        </w:trPr>
        <w:tc>
          <w:tcPr>
            <w:tcW w:w="534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</w:pPr>
            <w:r w:rsidRPr="009A326E">
              <w:t>Условия частичного отзыва Объектов доверительного управления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pStyle w:val="ConsNormal"/>
              <w:suppressAutoHyphens/>
              <w:ind w:firstLine="0"/>
              <w:jc w:val="both"/>
            </w:pPr>
            <w:r w:rsidRPr="009A326E">
              <w:rPr>
                <w:rFonts w:ascii="Times New Roman" w:hAnsi="Times New Roman"/>
                <w:lang w:eastAsia="en-US"/>
              </w:rPr>
              <w:t>сумма отзываемых денежных средств должна быть не менее минимальной суммы Дополнительного взноса, при этом размер активов, находящихся в управлении после отзыва средств, должен быть не менее минимальной суммы Первоначального взноса</w:t>
            </w:r>
          </w:p>
        </w:tc>
      </w:tr>
    </w:tbl>
    <w:p w:rsidR="005678CE" w:rsidRPr="009A326E" w:rsidRDefault="005678CE" w:rsidP="005678CE">
      <w:pPr>
        <w:suppressAutoHyphens/>
        <w:rPr>
          <w:vanish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/>
      </w:tblPr>
      <w:tblGrid>
        <w:gridCol w:w="534"/>
        <w:gridCol w:w="3685"/>
        <w:gridCol w:w="2977"/>
        <w:gridCol w:w="2693"/>
      </w:tblGrid>
      <w:tr w:rsidR="005678CE" w:rsidRPr="009A326E" w:rsidTr="00AB5C0D">
        <w:trPr>
          <w:trHeight w:val="278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shd w:val="clear" w:color="auto" w:fill="FDE9D9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15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  <w:shd w:val="clear" w:color="auto" w:fill="FDE9D9"/>
            <w:vAlign w:val="center"/>
          </w:tcPr>
          <w:p w:rsidR="005678CE" w:rsidRPr="009A326E" w:rsidRDefault="005678CE" w:rsidP="00AB5C0D">
            <w:pPr>
              <w:suppressAutoHyphens/>
            </w:pPr>
            <w:r w:rsidRPr="009A326E">
              <w:t>Стандартный инвестиционный профиль Учредителя управления для стратегии «Искусственный Интеллект»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34"/>
              </w:tabs>
              <w:suppressAutoHyphens/>
              <w:adjustRightInd w:val="0"/>
              <w:ind w:firstLine="34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Ожидаемая доходность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34"/>
              </w:tabs>
              <w:suppressAutoHyphens/>
              <w:adjustRightInd w:val="0"/>
              <w:ind w:left="34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30,0 % годовых</w:t>
            </w:r>
          </w:p>
        </w:tc>
      </w:tr>
      <w:tr w:rsidR="005678CE" w:rsidRPr="009A326E" w:rsidTr="00AB5C0D">
        <w:trPr>
          <w:trHeight w:val="268"/>
        </w:trPr>
        <w:tc>
          <w:tcPr>
            <w:tcW w:w="534" w:type="dxa"/>
            <w:vMerge/>
            <w:shd w:val="clear" w:color="auto" w:fill="FDE9D9"/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3685" w:type="dxa"/>
            <w:vMerge/>
            <w:shd w:val="clear" w:color="auto" w:fill="FDE9D9"/>
            <w:vAlign w:val="center"/>
          </w:tcPr>
          <w:p w:rsidR="005678CE" w:rsidRPr="009A326E" w:rsidRDefault="005678CE" w:rsidP="00AB5C0D">
            <w:pPr>
              <w:suppressAutoHyphens/>
              <w:jc w:val="center"/>
            </w:pPr>
          </w:p>
        </w:tc>
        <w:tc>
          <w:tcPr>
            <w:tcW w:w="2977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34"/>
              </w:tabs>
              <w:suppressAutoHyphens/>
              <w:adjustRightInd w:val="0"/>
              <w:ind w:firstLine="34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Допустимый риск</w:t>
            </w:r>
          </w:p>
        </w:tc>
        <w:tc>
          <w:tcPr>
            <w:tcW w:w="2693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34"/>
              </w:tabs>
              <w:suppressAutoHyphens/>
              <w:adjustRightInd w:val="0"/>
              <w:ind w:left="34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25%</w:t>
            </w:r>
          </w:p>
        </w:tc>
      </w:tr>
      <w:tr w:rsidR="005678CE" w:rsidRPr="009A326E" w:rsidTr="00AB5C0D">
        <w:trPr>
          <w:trHeight w:val="409"/>
        </w:trPr>
        <w:tc>
          <w:tcPr>
            <w:tcW w:w="534" w:type="dxa"/>
            <w:vMerge/>
            <w:shd w:val="clear" w:color="auto" w:fill="FDE9D9"/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3685" w:type="dxa"/>
            <w:vMerge/>
            <w:shd w:val="clear" w:color="auto" w:fill="FDE9D9"/>
            <w:vAlign w:val="center"/>
          </w:tcPr>
          <w:p w:rsidR="005678CE" w:rsidRPr="009A326E" w:rsidRDefault="005678CE" w:rsidP="00AB5C0D">
            <w:pPr>
              <w:suppressAutoHyphens/>
              <w:jc w:val="center"/>
            </w:pPr>
          </w:p>
        </w:tc>
        <w:tc>
          <w:tcPr>
            <w:tcW w:w="2977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34"/>
              </w:tabs>
              <w:suppressAutoHyphens/>
              <w:adjustRightInd w:val="0"/>
              <w:ind w:firstLine="34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Инвестиционный горизонт</w:t>
            </w:r>
          </w:p>
        </w:tc>
        <w:tc>
          <w:tcPr>
            <w:tcW w:w="2693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34"/>
              </w:tabs>
              <w:suppressAutoHyphens/>
              <w:adjustRightInd w:val="0"/>
              <w:ind w:left="34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36 месяцев</w:t>
            </w:r>
          </w:p>
        </w:tc>
      </w:tr>
    </w:tbl>
    <w:p w:rsidR="005678CE" w:rsidRPr="009A326E" w:rsidRDefault="005678CE" w:rsidP="005678CE">
      <w:pPr>
        <w:suppressAutoHyphens/>
        <w:rPr>
          <w:vanish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685"/>
        <w:gridCol w:w="5670"/>
      </w:tblGrid>
      <w:tr w:rsidR="005678CE" w:rsidRPr="009A326E" w:rsidTr="00AB5C0D">
        <w:trPr>
          <w:trHeight w:val="295"/>
        </w:trPr>
        <w:tc>
          <w:tcPr>
            <w:tcW w:w="534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16</w:t>
            </w:r>
          </w:p>
        </w:tc>
        <w:tc>
          <w:tcPr>
            <w:tcW w:w="3685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suppressAutoHyphens/>
              <w:rPr>
                <w:lang w:val="en-US"/>
              </w:rPr>
            </w:pPr>
            <w:r w:rsidRPr="009A326E">
              <w:t>валюта Стратегии</w:t>
            </w:r>
          </w:p>
        </w:tc>
        <w:tc>
          <w:tcPr>
            <w:tcW w:w="5670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Рубль Российской Федерации</w:t>
            </w:r>
          </w:p>
        </w:tc>
      </w:tr>
    </w:tbl>
    <w:p w:rsidR="005678CE" w:rsidRPr="009A326E" w:rsidRDefault="005678CE" w:rsidP="005678CE">
      <w:pPr>
        <w:shd w:val="clear" w:color="auto" w:fill="FFFFFF"/>
        <w:ind w:firstLine="709"/>
        <w:jc w:val="both"/>
        <w:rPr>
          <w:bCs/>
          <w:sz w:val="18"/>
          <w:szCs w:val="18"/>
          <w:lang w:eastAsia="ru-RU"/>
        </w:rPr>
      </w:pPr>
    </w:p>
    <w:p w:rsidR="005678CE" w:rsidRPr="009A326E" w:rsidRDefault="005678CE" w:rsidP="005678CE">
      <w:pPr>
        <w:shd w:val="clear" w:color="auto" w:fill="FFFFFF"/>
        <w:suppressAutoHyphens/>
        <w:ind w:firstLine="709"/>
        <w:jc w:val="both"/>
        <w:rPr>
          <w:bCs/>
          <w:sz w:val="18"/>
          <w:szCs w:val="18"/>
        </w:rPr>
      </w:pPr>
      <w:r w:rsidRPr="009A326E">
        <w:rPr>
          <w:bCs/>
          <w:sz w:val="18"/>
          <w:szCs w:val="18"/>
          <w:lang w:eastAsia="ru-RU"/>
        </w:rPr>
        <w:t xml:space="preserve">При осуществлении управления в данной Стандартной стратегии  используется </w:t>
      </w:r>
      <w:r w:rsidRPr="009A326E">
        <w:rPr>
          <w:bCs/>
          <w:sz w:val="18"/>
          <w:szCs w:val="18"/>
        </w:rPr>
        <w:t xml:space="preserve">программа для электронных вычислительных машин «ФИНИС Комплекс / </w:t>
      </w:r>
      <w:r w:rsidRPr="009A326E">
        <w:rPr>
          <w:bCs/>
          <w:sz w:val="18"/>
          <w:szCs w:val="18"/>
          <w:lang w:val="en-US"/>
        </w:rPr>
        <w:t>AISFin</w:t>
      </w:r>
      <w:r w:rsidRPr="009A326E">
        <w:rPr>
          <w:bCs/>
          <w:sz w:val="18"/>
          <w:szCs w:val="18"/>
        </w:rPr>
        <w:t xml:space="preserve"> </w:t>
      </w:r>
      <w:r w:rsidRPr="009A326E">
        <w:rPr>
          <w:bCs/>
          <w:sz w:val="18"/>
          <w:szCs w:val="18"/>
          <w:lang w:val="en-US"/>
        </w:rPr>
        <w:t>Complex</w:t>
      </w:r>
      <w:r w:rsidRPr="009A326E">
        <w:rPr>
          <w:bCs/>
          <w:sz w:val="18"/>
          <w:szCs w:val="18"/>
        </w:rPr>
        <w:t>»</w:t>
      </w:r>
      <w:r w:rsidRPr="009A326E">
        <w:rPr>
          <w:bCs/>
          <w:sz w:val="18"/>
          <w:szCs w:val="18"/>
          <w:lang w:eastAsia="ru-RU"/>
        </w:rPr>
        <w:t xml:space="preserve">. </w:t>
      </w:r>
      <w:r w:rsidRPr="009A326E">
        <w:rPr>
          <w:bCs/>
          <w:sz w:val="18"/>
          <w:szCs w:val="18"/>
        </w:rPr>
        <w:t xml:space="preserve">Аккредитация Программы ФИНИС осуществлена </w:t>
      </w:r>
      <w:r w:rsidRPr="009A326E">
        <w:rPr>
          <w:sz w:val="18"/>
          <w:szCs w:val="18"/>
        </w:rPr>
        <w:t xml:space="preserve">Национальной ассоциацией участников фондового рынка (НАУФОР) 25 августа 2021 г. </w:t>
      </w:r>
      <w:r w:rsidRPr="009A326E">
        <w:rPr>
          <w:bCs/>
          <w:sz w:val="18"/>
          <w:szCs w:val="18"/>
        </w:rPr>
        <w:t>Неисключительное право использования Программы ФИНИС предоставлено Банку в соответствии с договором о предоставлении простой лицензии на использование программы ФИНИС (лицензионным договором).</w:t>
      </w:r>
    </w:p>
    <w:p w:rsidR="005678CE" w:rsidRPr="009A326E" w:rsidRDefault="005678CE" w:rsidP="005678CE">
      <w:pPr>
        <w:shd w:val="clear" w:color="auto" w:fill="FFFFFF"/>
        <w:suppressAutoHyphens/>
        <w:autoSpaceDE w:val="0"/>
        <w:autoSpaceDN w:val="0"/>
        <w:ind w:firstLine="567"/>
        <w:jc w:val="both"/>
        <w:rPr>
          <w:sz w:val="22"/>
          <w:szCs w:val="22"/>
        </w:rPr>
      </w:pPr>
    </w:p>
    <w:p w:rsidR="009A0EE8" w:rsidRDefault="005678CE">
      <w:pPr>
        <w:pStyle w:val="ConsNormal"/>
        <w:suppressAutoHyphens/>
        <w:ind w:firstLine="0"/>
        <w:jc w:val="center"/>
        <w:rPr>
          <w:b/>
          <w:sz w:val="22"/>
          <w:szCs w:val="22"/>
        </w:rPr>
      </w:pPr>
      <w:r w:rsidRPr="009A326E">
        <w:rPr>
          <w:rFonts w:ascii="Times New Roman" w:hAnsi="Times New Roman"/>
          <w:b/>
          <w:sz w:val="24"/>
          <w:szCs w:val="24"/>
        </w:rPr>
        <w:br w:type="page"/>
      </w:r>
      <w:r w:rsidR="003726F5" w:rsidRPr="003726F5">
        <w:rPr>
          <w:rFonts w:ascii="Times New Roman" w:hAnsi="Times New Roman" w:cs="Times New Roman"/>
          <w:b/>
          <w:sz w:val="22"/>
          <w:szCs w:val="22"/>
        </w:rPr>
        <w:lastRenderedPageBreak/>
        <w:t>Стратегия управления «ВСЕГДА В ПЛЮСЕ»</w:t>
      </w:r>
    </w:p>
    <w:p w:rsidR="005678CE" w:rsidRPr="009A326E" w:rsidRDefault="005678CE" w:rsidP="005678CE">
      <w:pPr>
        <w:suppressAutoHyphens/>
        <w:ind w:left="5398"/>
        <w:jc w:val="right"/>
        <w:rPr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827"/>
        <w:gridCol w:w="5528"/>
      </w:tblGrid>
      <w:tr w:rsidR="005678CE" w:rsidRPr="009A326E" w:rsidTr="00AB5C0D">
        <w:trPr>
          <w:trHeight w:val="847"/>
        </w:trPr>
        <w:tc>
          <w:tcPr>
            <w:tcW w:w="534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1</w:t>
            </w:r>
          </w:p>
        </w:tc>
        <w:tc>
          <w:tcPr>
            <w:tcW w:w="3827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Цель стратегии</w:t>
            </w:r>
          </w:p>
        </w:tc>
        <w:tc>
          <w:tcPr>
            <w:tcW w:w="5528" w:type="dxa"/>
            <w:vAlign w:val="center"/>
          </w:tcPr>
          <w:p w:rsidR="005678CE" w:rsidRPr="009A326E" w:rsidRDefault="005678CE" w:rsidP="00AB5C0D">
            <w:pPr>
              <w:suppressAutoHyphens/>
              <w:ind w:left="34"/>
              <w:jc w:val="both"/>
            </w:pPr>
            <w:r w:rsidRPr="009A326E">
              <w:t>Краткосрочное размещение денежных средств в биржевые инструменты денежного рынка (операции РЕПО) на срок от 1 дня до трех месяцев при минимальном уровне риска</w:t>
            </w:r>
          </w:p>
        </w:tc>
      </w:tr>
      <w:tr w:rsidR="005678CE" w:rsidRPr="009A326E" w:rsidTr="00AB5C0D">
        <w:tc>
          <w:tcPr>
            <w:tcW w:w="534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2</w:t>
            </w:r>
          </w:p>
        </w:tc>
        <w:tc>
          <w:tcPr>
            <w:tcW w:w="3827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Рекомендованный возраст Учредителя управления – физического лица</w:t>
            </w:r>
          </w:p>
        </w:tc>
        <w:tc>
          <w:tcPr>
            <w:tcW w:w="5528" w:type="dxa"/>
            <w:vAlign w:val="center"/>
          </w:tcPr>
          <w:p w:rsidR="005678CE" w:rsidRPr="009A326E" w:rsidRDefault="005678CE" w:rsidP="00AB5C0D">
            <w:pPr>
              <w:suppressAutoHyphens/>
              <w:ind w:firstLine="84"/>
              <w:jc w:val="center"/>
            </w:pPr>
            <w:r w:rsidRPr="009A326E">
              <w:t>От 18 до 65 лет</w:t>
            </w:r>
          </w:p>
        </w:tc>
      </w:tr>
      <w:tr w:rsidR="005678CE" w:rsidRPr="009A326E" w:rsidTr="00AB5C0D">
        <w:trPr>
          <w:trHeight w:val="827"/>
        </w:trPr>
        <w:tc>
          <w:tcPr>
            <w:tcW w:w="534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3</w:t>
            </w:r>
          </w:p>
        </w:tc>
        <w:tc>
          <w:tcPr>
            <w:tcW w:w="3827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Примерные среднемесячные доходы за последние 12 месяцев (для физических лиц)</w:t>
            </w:r>
          </w:p>
        </w:tc>
        <w:tc>
          <w:tcPr>
            <w:tcW w:w="5528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center"/>
              <w:rPr>
                <w:rFonts w:eastAsia="Arial" w:cs="Arial"/>
              </w:rPr>
            </w:pPr>
            <w:r w:rsidRPr="009A326E">
              <w:rPr>
                <w:rFonts w:eastAsia="Arial" w:cs="Arial"/>
              </w:rPr>
              <w:t>От 40 000 (сорок тысяч) рублей</w:t>
            </w:r>
          </w:p>
        </w:tc>
      </w:tr>
      <w:tr w:rsidR="005678CE" w:rsidRPr="009A326E" w:rsidTr="00AB5C0D">
        <w:trPr>
          <w:trHeight w:val="673"/>
        </w:trPr>
        <w:tc>
          <w:tcPr>
            <w:tcW w:w="534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4</w:t>
            </w:r>
          </w:p>
        </w:tc>
        <w:tc>
          <w:tcPr>
            <w:tcW w:w="3827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Примерные среднемесячные расходы за последние 12 месяцев (для физических лиц)</w:t>
            </w:r>
          </w:p>
        </w:tc>
        <w:tc>
          <w:tcPr>
            <w:tcW w:w="5528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center"/>
              <w:rPr>
                <w:rFonts w:eastAsia="Arial" w:cs="Arial"/>
              </w:rPr>
            </w:pPr>
            <w:r w:rsidRPr="009A326E">
              <w:rPr>
                <w:rFonts w:eastAsia="Arial" w:cs="Arial"/>
              </w:rPr>
              <w:t>В размере, отличающемся в меньшую сторону от среднего дохода на десять и более тысяч рублей</w:t>
            </w:r>
          </w:p>
        </w:tc>
      </w:tr>
      <w:tr w:rsidR="005678CE" w:rsidRPr="009A326E" w:rsidTr="00AB5C0D">
        <w:trPr>
          <w:trHeight w:val="1577"/>
        </w:trPr>
        <w:tc>
          <w:tcPr>
            <w:tcW w:w="534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5</w:t>
            </w:r>
          </w:p>
        </w:tc>
        <w:tc>
          <w:tcPr>
            <w:tcW w:w="3827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Перечень (состав) Объектов доверительного управления, которые вправе приобретать Управляющий при осуществлении деятельности по доверительному управлению ценными бумагами</w:t>
            </w:r>
          </w:p>
        </w:tc>
        <w:tc>
          <w:tcPr>
            <w:tcW w:w="5528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both"/>
            </w:pPr>
            <w:r w:rsidRPr="009A326E">
              <w:rPr>
                <w:rFonts w:eastAsia="Arial" w:cs="Arial"/>
              </w:rPr>
              <w:t xml:space="preserve">- </w:t>
            </w:r>
            <w:r w:rsidRPr="009A326E">
              <w:rPr>
                <w:rFonts w:eastAsia="Arial"/>
              </w:rPr>
              <w:t xml:space="preserve">денежные средства, в том числе на счетах в кредитных организациях в рублях РФ и/или </w:t>
            </w:r>
            <w:r w:rsidRPr="009A326E">
              <w:t xml:space="preserve">предоставленные по первой части договора репо с ОФЗ, акциями из базы расчета индекса </w:t>
            </w:r>
            <w:r w:rsidRPr="009A326E">
              <w:rPr>
                <w:rFonts w:eastAsia="Arial"/>
              </w:rPr>
              <w:t>МосБиржи (</w:t>
            </w:r>
            <w:r w:rsidRPr="009A326E">
              <w:rPr>
                <w:rFonts w:eastAsia="Arial"/>
                <w:lang w:val="en-US"/>
              </w:rPr>
              <w:t>IMOEX</w:t>
            </w:r>
            <w:r w:rsidRPr="009A326E">
              <w:rPr>
                <w:rFonts w:eastAsia="Arial"/>
              </w:rPr>
              <w:t>) и/или по первой части договора репо с клиринговыми сертификатами участия, заключенного с Центральным контрагентом (НКО «Национальный Клиринговый Центр»</w:t>
            </w:r>
            <w:r w:rsidRPr="009A326E">
              <w:rPr>
                <w:rStyle w:val="aff4"/>
                <w:lang w:eastAsia="ru-RU"/>
              </w:rPr>
              <w:t>)</w:t>
            </w:r>
          </w:p>
        </w:tc>
      </w:tr>
      <w:tr w:rsidR="005678CE" w:rsidRPr="009A326E" w:rsidTr="00AB5C0D">
        <w:tc>
          <w:tcPr>
            <w:tcW w:w="534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6</w:t>
            </w:r>
          </w:p>
        </w:tc>
        <w:tc>
          <w:tcPr>
            <w:tcW w:w="3827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Перечень групп эмитентов (по видам осуществляемой ими экономической деятельности), чьи ценные бумаги могут являться Объектами доверительного управления по Договору</w:t>
            </w:r>
          </w:p>
        </w:tc>
        <w:tc>
          <w:tcPr>
            <w:tcW w:w="5528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t>Не ограничивается</w:t>
            </w:r>
          </w:p>
        </w:tc>
      </w:tr>
      <w:tr w:rsidR="005678CE" w:rsidRPr="009A326E" w:rsidTr="00AB5C0D">
        <w:trPr>
          <w:trHeight w:val="333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7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Минимальная сумма Первоначального взноса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center"/>
              <w:rPr>
                <w:rFonts w:cs="Arial"/>
                <w:b/>
              </w:rPr>
            </w:pPr>
            <w:r w:rsidRPr="009A326E">
              <w:rPr>
                <w:rFonts w:cs="Arial"/>
                <w:b/>
              </w:rPr>
              <w:t>150 000,00 (сто пятьдесят тысяч) рублей</w:t>
            </w:r>
          </w:p>
        </w:tc>
      </w:tr>
      <w:tr w:rsidR="005678CE" w:rsidRPr="009A326E" w:rsidTr="00AB5C0D">
        <w:trPr>
          <w:trHeight w:val="409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8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Минимальная сумма Дополнительного взноса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center"/>
              <w:rPr>
                <w:rFonts w:cs="Arial"/>
                <w:b/>
              </w:rPr>
            </w:pPr>
            <w:r w:rsidRPr="009A326E">
              <w:rPr>
                <w:rFonts w:cs="Arial"/>
                <w:b/>
              </w:rPr>
              <w:t>Не ограничивается</w:t>
            </w:r>
          </w:p>
        </w:tc>
      </w:tr>
      <w:tr w:rsidR="005678CE" w:rsidRPr="009A326E" w:rsidTr="00AB5C0D">
        <w:trPr>
          <w:trHeight w:val="4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bottom w:val="nil"/>
            </w:tcBorders>
            <w:vAlign w:val="center"/>
          </w:tcPr>
          <w:p w:rsidR="005678CE" w:rsidRPr="009A326E" w:rsidRDefault="005678CE" w:rsidP="00AB5C0D">
            <w:pPr>
              <w:shd w:val="clear" w:color="auto" w:fill="FFFFFF"/>
              <w:suppressAutoHyphens/>
              <w:rPr>
                <w:bCs/>
                <w:spacing w:val="-3"/>
              </w:rPr>
            </w:pPr>
            <w:r w:rsidRPr="009A326E">
              <w:rPr>
                <w:bCs/>
                <w:spacing w:val="-3"/>
              </w:rPr>
              <w:t>Риски, связанные со Стратегией управления</w:t>
            </w:r>
          </w:p>
        </w:tc>
        <w:tc>
          <w:tcPr>
            <w:tcW w:w="552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hd w:val="clear" w:color="auto" w:fill="FFFFFF"/>
              <w:suppressAutoHyphens/>
              <w:jc w:val="both"/>
              <w:rPr>
                <w:b/>
              </w:rPr>
            </w:pPr>
            <w:r w:rsidRPr="009A326E">
              <w:rPr>
                <w:b/>
              </w:rPr>
              <w:t>Риски:</w:t>
            </w:r>
          </w:p>
          <w:p w:rsidR="005678CE" w:rsidRPr="009A326E" w:rsidRDefault="005678CE" w:rsidP="00AB5C0D">
            <w:pPr>
              <w:shd w:val="clear" w:color="auto" w:fill="FFFFFF"/>
              <w:suppressAutoHyphens/>
              <w:jc w:val="both"/>
            </w:pPr>
            <w:r w:rsidRPr="009A326E">
              <w:rPr>
                <w:b/>
              </w:rPr>
              <w:t>Системный, Кредитный</w:t>
            </w:r>
          </w:p>
          <w:p w:rsidR="005678CE" w:rsidRPr="009A326E" w:rsidRDefault="005678CE" w:rsidP="00AB5C0D">
            <w:pPr>
              <w:shd w:val="clear" w:color="auto" w:fill="FFFFFF"/>
              <w:suppressAutoHyphens/>
              <w:jc w:val="both"/>
            </w:pPr>
            <w:r w:rsidRPr="009A326E">
              <w:t xml:space="preserve">Более подробное описание рисков, связанных со Стратегией управления, представлено в Приложении № 6 к Регламенту </w:t>
            </w:r>
          </w:p>
        </w:tc>
      </w:tr>
    </w:tbl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827"/>
        <w:gridCol w:w="5528"/>
      </w:tblGrid>
      <w:tr w:rsidR="005678CE" w:rsidRPr="009A326E" w:rsidTr="00AB5C0D">
        <w:trPr>
          <w:trHeight w:val="84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pStyle w:val="Con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A326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shd w:val="clear" w:color="auto" w:fill="FFFFFF"/>
              <w:suppressAutoHyphens/>
              <w:rPr>
                <w:bCs/>
                <w:spacing w:val="-3"/>
              </w:rPr>
            </w:pPr>
            <w:r w:rsidRPr="009A326E">
              <w:rPr>
                <w:bCs/>
                <w:spacing w:val="-3"/>
              </w:rPr>
              <w:t>Информация о вознаграждении Управляющего в связи с доверительным управлением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shd w:val="clear" w:color="auto" w:fill="FFFFFF"/>
              <w:suppressAutoHyphens/>
              <w:jc w:val="both"/>
            </w:pPr>
            <w:r w:rsidRPr="009A326E">
              <w:t>Порядок расчета и выплаты вознаграждения Управляющего определен разделом 8 Регламента, Приложением № 13 к Регламенту, а также ставками, применяемыми в целях расчета вознаграждения Управляющего</w:t>
            </w:r>
          </w:p>
        </w:tc>
      </w:tr>
    </w:tbl>
    <w:tbl>
      <w:tblPr>
        <w:tblpPr w:leftFromText="180" w:rightFromText="180" w:vertAnchor="text" w:tblpY="1"/>
        <w:tblOverlap w:val="never"/>
        <w:tblW w:w="988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827"/>
        <w:gridCol w:w="5528"/>
      </w:tblGrid>
      <w:tr w:rsidR="005678CE" w:rsidRPr="009A326E" w:rsidTr="00AB5C0D">
        <w:trPr>
          <w:trHeight w:val="523"/>
        </w:trPr>
        <w:tc>
          <w:tcPr>
            <w:tcW w:w="534" w:type="dxa"/>
            <w:vAlign w:val="center"/>
          </w:tcPr>
          <w:p w:rsidR="005678CE" w:rsidRPr="009A326E" w:rsidRDefault="005678CE" w:rsidP="00AB5C0D">
            <w:pPr>
              <w:pStyle w:val="Con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A326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27" w:type="dxa"/>
            <w:vAlign w:val="center"/>
          </w:tcPr>
          <w:p w:rsidR="005678CE" w:rsidRPr="009A326E" w:rsidRDefault="005678CE" w:rsidP="00AB5C0D">
            <w:pPr>
              <w:shd w:val="clear" w:color="auto" w:fill="FFFFFF"/>
              <w:suppressAutoHyphens/>
              <w:rPr>
                <w:bCs/>
                <w:spacing w:val="-3"/>
              </w:rPr>
            </w:pPr>
            <w:r w:rsidRPr="009A326E">
              <w:rPr>
                <w:bCs/>
                <w:spacing w:val="-3"/>
              </w:rPr>
              <w:t>Информация о расходах, связанных с Доверительным управлением</w:t>
            </w:r>
          </w:p>
        </w:tc>
        <w:tc>
          <w:tcPr>
            <w:tcW w:w="5528" w:type="dxa"/>
            <w:vAlign w:val="center"/>
          </w:tcPr>
          <w:p w:rsidR="005678CE" w:rsidRPr="009A326E" w:rsidRDefault="005678CE" w:rsidP="00AB5C0D">
            <w:pPr>
              <w:shd w:val="clear" w:color="auto" w:fill="FFFFFF"/>
              <w:suppressAutoHyphens/>
              <w:jc w:val="both"/>
            </w:pPr>
            <w:r w:rsidRPr="009A326E">
              <w:t xml:space="preserve">Перечень расходов, связанных с доверительным управлением, определен разделом 8 Регламента </w:t>
            </w:r>
          </w:p>
        </w:tc>
      </w:tr>
    </w:tbl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827"/>
        <w:gridCol w:w="2385"/>
        <w:gridCol w:w="1584"/>
        <w:gridCol w:w="1559"/>
      </w:tblGrid>
      <w:tr w:rsidR="005678CE" w:rsidRPr="009A326E" w:rsidTr="00AB5C0D">
        <w:trPr>
          <w:trHeight w:val="460"/>
        </w:trPr>
        <w:tc>
          <w:tcPr>
            <w:tcW w:w="534" w:type="dxa"/>
            <w:vMerge w:val="restart"/>
            <w:tcBorders>
              <w:top w:val="nil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12</w:t>
            </w:r>
          </w:p>
        </w:tc>
        <w:tc>
          <w:tcPr>
            <w:tcW w:w="3827" w:type="dxa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Структура Объектов доверительного управления, которую обязан поддерживать Управляющий в течение всего срока действия Договора</w:t>
            </w:r>
          </w:p>
        </w:tc>
        <w:tc>
          <w:tcPr>
            <w:tcW w:w="2385" w:type="dxa"/>
            <w:tcBorders>
              <w:top w:val="nil"/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9A326E">
              <w:rPr>
                <w:rFonts w:cs="Arial"/>
                <w:b/>
                <w:sz w:val="18"/>
                <w:szCs w:val="18"/>
              </w:rPr>
              <w:t>Вид Активов</w:t>
            </w:r>
          </w:p>
        </w:tc>
        <w:tc>
          <w:tcPr>
            <w:tcW w:w="1584" w:type="dxa"/>
            <w:tcBorders>
              <w:top w:val="nil"/>
            </w:tcBorders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9A326E">
              <w:rPr>
                <w:rFonts w:cs="Arial"/>
                <w:b/>
                <w:sz w:val="18"/>
                <w:szCs w:val="18"/>
              </w:rPr>
              <w:t>Минимальная доля Активов в общем объеме (%)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9A326E">
              <w:rPr>
                <w:rFonts w:cs="Arial"/>
                <w:b/>
                <w:sz w:val="18"/>
                <w:szCs w:val="18"/>
              </w:rPr>
              <w:t>Максимальная доля Активов в общем объеме (%)</w:t>
            </w:r>
          </w:p>
        </w:tc>
      </w:tr>
      <w:tr w:rsidR="005678CE" w:rsidRPr="009A326E" w:rsidTr="00AB5C0D">
        <w:trPr>
          <w:trHeight w:val="1217"/>
        </w:trPr>
        <w:tc>
          <w:tcPr>
            <w:tcW w:w="534" w:type="dxa"/>
            <w:vMerge/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2385" w:type="dxa"/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  <w:r w:rsidRPr="009A326E">
              <w:rPr>
                <w:rFonts w:eastAsia="Arial"/>
              </w:rPr>
              <w:t xml:space="preserve">- денежные средства, в том числе на счетах в кредитных организациях, и/или </w:t>
            </w:r>
            <w:r w:rsidRPr="009A326E">
              <w:t xml:space="preserve">предоставленные по первой части договора репо с ОФЗ, акциями из базы расчета индекса </w:t>
            </w:r>
            <w:r w:rsidRPr="009A326E">
              <w:rPr>
                <w:rFonts w:eastAsia="Arial"/>
              </w:rPr>
              <w:t>МосБиржи (</w:t>
            </w:r>
            <w:r w:rsidRPr="009A326E">
              <w:rPr>
                <w:rFonts w:eastAsia="Arial"/>
                <w:lang w:val="en-US"/>
              </w:rPr>
              <w:t>IMOEX</w:t>
            </w:r>
            <w:r w:rsidRPr="009A326E">
              <w:rPr>
                <w:rFonts w:eastAsia="Arial"/>
              </w:rPr>
              <w:t>) и/или по первой части договора репо с клиринговыми сертификатами участия, заключенного с Центральным контрагентом (НКО «Национальный клиринговый центр»)</w:t>
            </w:r>
          </w:p>
        </w:tc>
        <w:tc>
          <w:tcPr>
            <w:tcW w:w="1584" w:type="dxa"/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0</w:t>
            </w:r>
          </w:p>
        </w:tc>
        <w:tc>
          <w:tcPr>
            <w:tcW w:w="1559" w:type="dxa"/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100</w:t>
            </w:r>
          </w:p>
        </w:tc>
      </w:tr>
      <w:tr w:rsidR="005678CE" w:rsidRPr="009A326E" w:rsidTr="00AB5C0D">
        <w:trPr>
          <w:trHeight w:val="678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lastRenderedPageBreak/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</w:pPr>
            <w:r w:rsidRPr="009A326E">
              <w:t>Соотношение между ценными бумагами различных групп эмитентов (по отраслевому или иному признаку)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Не применяется</w:t>
            </w:r>
          </w:p>
        </w:tc>
      </w:tr>
      <w:tr w:rsidR="005678CE" w:rsidRPr="009A326E" w:rsidTr="00AB5C0D">
        <w:trPr>
          <w:trHeight w:val="561"/>
        </w:trPr>
        <w:tc>
          <w:tcPr>
            <w:tcW w:w="534" w:type="dxa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</w:pPr>
            <w:r w:rsidRPr="009A326E">
              <w:t>Условия частичного отзыва Объектов доверительного управления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utoSpaceDE w:val="0"/>
              <w:autoSpaceDN w:val="0"/>
              <w:ind w:left="34"/>
              <w:jc w:val="both"/>
              <w:rPr>
                <w:rFonts w:cs="Arial"/>
              </w:rPr>
            </w:pPr>
            <w:r w:rsidRPr="009A326E">
              <w:t>размер активов, находящихся в управлении после отзыва средств, должен быть не менее минимальной суммы Первоначального взноса</w:t>
            </w:r>
          </w:p>
        </w:tc>
      </w:tr>
    </w:tbl>
    <w:p w:rsidR="005678CE" w:rsidRPr="009A326E" w:rsidRDefault="005678CE" w:rsidP="005678CE">
      <w:pPr>
        <w:suppressAutoHyphens/>
        <w:rPr>
          <w:vanish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/>
      </w:tblPr>
      <w:tblGrid>
        <w:gridCol w:w="534"/>
        <w:gridCol w:w="3827"/>
        <w:gridCol w:w="2835"/>
        <w:gridCol w:w="2693"/>
      </w:tblGrid>
      <w:tr w:rsidR="005678CE" w:rsidRPr="009A326E" w:rsidTr="00AB5C0D">
        <w:trPr>
          <w:trHeight w:val="272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shd w:val="clear" w:color="auto" w:fill="FDE9D9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15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shd w:val="clear" w:color="auto" w:fill="FDE9D9"/>
            <w:vAlign w:val="center"/>
          </w:tcPr>
          <w:p w:rsidR="005678CE" w:rsidRPr="009A326E" w:rsidRDefault="005678CE" w:rsidP="00AB5C0D">
            <w:pPr>
              <w:suppressAutoHyphens/>
            </w:pPr>
            <w:r w:rsidRPr="009A326E">
              <w:t>Стандартный инвестиционный профиль Учредителя управления для стратегии «Всегда в плюсе»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34"/>
              </w:tabs>
              <w:suppressAutoHyphens/>
              <w:adjustRightInd w:val="0"/>
              <w:ind w:firstLine="34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Ожидаемая доходность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34"/>
              </w:tabs>
              <w:suppressAutoHyphens/>
              <w:adjustRightInd w:val="0"/>
              <w:ind w:left="34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16,0 % годовых</w:t>
            </w:r>
          </w:p>
        </w:tc>
      </w:tr>
      <w:tr w:rsidR="005678CE" w:rsidRPr="009A326E" w:rsidTr="00AB5C0D">
        <w:trPr>
          <w:trHeight w:val="275"/>
        </w:trPr>
        <w:tc>
          <w:tcPr>
            <w:tcW w:w="534" w:type="dxa"/>
            <w:vMerge/>
            <w:shd w:val="clear" w:color="auto" w:fill="FDE9D9"/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3827" w:type="dxa"/>
            <w:vMerge/>
            <w:shd w:val="clear" w:color="auto" w:fill="FDE9D9"/>
            <w:vAlign w:val="center"/>
          </w:tcPr>
          <w:p w:rsidR="005678CE" w:rsidRPr="009A326E" w:rsidRDefault="005678CE" w:rsidP="00AB5C0D">
            <w:pPr>
              <w:suppressAutoHyphens/>
              <w:jc w:val="center"/>
            </w:pPr>
          </w:p>
        </w:tc>
        <w:tc>
          <w:tcPr>
            <w:tcW w:w="2835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34"/>
              </w:tabs>
              <w:suppressAutoHyphens/>
              <w:adjustRightInd w:val="0"/>
              <w:ind w:firstLine="34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Допустимый риск</w:t>
            </w:r>
          </w:p>
        </w:tc>
        <w:tc>
          <w:tcPr>
            <w:tcW w:w="2693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34"/>
              </w:tabs>
              <w:suppressAutoHyphens/>
              <w:adjustRightInd w:val="0"/>
              <w:ind w:left="34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0 %</w:t>
            </w:r>
          </w:p>
        </w:tc>
      </w:tr>
      <w:tr w:rsidR="005678CE" w:rsidRPr="009A326E" w:rsidTr="00AB5C0D">
        <w:trPr>
          <w:trHeight w:val="280"/>
        </w:trPr>
        <w:tc>
          <w:tcPr>
            <w:tcW w:w="534" w:type="dxa"/>
            <w:vMerge/>
            <w:shd w:val="clear" w:color="auto" w:fill="FDE9D9"/>
          </w:tcPr>
          <w:p w:rsidR="005678CE" w:rsidRPr="009A326E" w:rsidRDefault="005678CE" w:rsidP="00AB5C0D">
            <w:pPr>
              <w:suppressAutoHyphens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3827" w:type="dxa"/>
            <w:vMerge/>
            <w:shd w:val="clear" w:color="auto" w:fill="FDE9D9"/>
            <w:vAlign w:val="center"/>
          </w:tcPr>
          <w:p w:rsidR="005678CE" w:rsidRPr="009A326E" w:rsidRDefault="005678CE" w:rsidP="00AB5C0D">
            <w:pPr>
              <w:suppressAutoHyphens/>
              <w:jc w:val="center"/>
            </w:pPr>
          </w:p>
        </w:tc>
        <w:tc>
          <w:tcPr>
            <w:tcW w:w="2835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34"/>
              </w:tabs>
              <w:suppressAutoHyphens/>
              <w:adjustRightInd w:val="0"/>
              <w:ind w:firstLine="34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Инвестиционный горизонт</w:t>
            </w:r>
          </w:p>
        </w:tc>
        <w:tc>
          <w:tcPr>
            <w:tcW w:w="2693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34"/>
              </w:tabs>
              <w:suppressAutoHyphens/>
              <w:adjustRightInd w:val="0"/>
              <w:ind w:left="34"/>
              <w:jc w:val="center"/>
              <w:rPr>
                <w:rFonts w:cs="Arial"/>
              </w:rPr>
            </w:pPr>
            <w:r w:rsidRPr="009A326E">
              <w:rPr>
                <w:rFonts w:cs="Arial"/>
              </w:rPr>
              <w:t>36 месяцев</w:t>
            </w:r>
          </w:p>
        </w:tc>
      </w:tr>
    </w:tbl>
    <w:p w:rsidR="005678CE" w:rsidRPr="009A326E" w:rsidRDefault="005678CE" w:rsidP="005678CE">
      <w:pPr>
        <w:suppressAutoHyphens/>
        <w:rPr>
          <w:vanish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827"/>
        <w:gridCol w:w="5528"/>
      </w:tblGrid>
      <w:tr w:rsidR="005678CE" w:rsidRPr="009A326E" w:rsidTr="00AB5C0D">
        <w:trPr>
          <w:trHeight w:val="318"/>
        </w:trPr>
        <w:tc>
          <w:tcPr>
            <w:tcW w:w="534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16</w:t>
            </w:r>
          </w:p>
        </w:tc>
        <w:tc>
          <w:tcPr>
            <w:tcW w:w="3827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suppressAutoHyphens/>
              <w:rPr>
                <w:lang w:val="en-US"/>
              </w:rPr>
            </w:pPr>
            <w:r w:rsidRPr="009A326E">
              <w:t>валюта Стратегии</w:t>
            </w:r>
          </w:p>
        </w:tc>
        <w:tc>
          <w:tcPr>
            <w:tcW w:w="5528" w:type="dxa"/>
            <w:shd w:val="clear" w:color="auto" w:fill="FDE9D9"/>
            <w:vAlign w:val="center"/>
          </w:tcPr>
          <w:p w:rsidR="005678CE" w:rsidRPr="009A326E" w:rsidRDefault="005678CE" w:rsidP="00AB5C0D">
            <w:pPr>
              <w:tabs>
                <w:tab w:val="left" w:pos="455"/>
              </w:tabs>
              <w:suppressAutoHyphens/>
              <w:adjustRightInd w:val="0"/>
              <w:rPr>
                <w:rFonts w:cs="Arial"/>
              </w:rPr>
            </w:pPr>
            <w:r w:rsidRPr="009A326E">
              <w:rPr>
                <w:rFonts w:cs="Arial"/>
              </w:rPr>
              <w:t>Рубль Российской Федерации</w:t>
            </w:r>
          </w:p>
        </w:tc>
      </w:tr>
    </w:tbl>
    <w:p w:rsidR="009A0EE8" w:rsidRDefault="009A0EE8" w:rsidP="005C38FA">
      <w:pPr>
        <w:shd w:val="clear" w:color="auto" w:fill="FFFFFF"/>
        <w:suppressAutoHyphens/>
        <w:jc w:val="both"/>
        <w:rPr>
          <w:sz w:val="22"/>
          <w:szCs w:val="22"/>
        </w:rPr>
      </w:pPr>
    </w:p>
    <w:sectPr w:rsidR="009A0EE8" w:rsidSect="005C38FA">
      <w:headerReference w:type="even" r:id="rId8"/>
      <w:headerReference w:type="default" r:id="rId9"/>
      <w:footerReference w:type="even" r:id="rId10"/>
      <w:pgSz w:w="11906" w:h="16838"/>
      <w:pgMar w:top="851" w:right="851" w:bottom="85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8A667B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8A667B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388716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5C38FA" w:rsidRDefault="008A667B" w:rsidP="00C21A8B">
        <w:pPr>
          <w:pStyle w:val="af0"/>
          <w:jc w:val="center"/>
          <w:rPr>
            <w:sz w:val="18"/>
            <w:szCs w:val="18"/>
          </w:rPr>
        </w:pPr>
        <w:r w:rsidRPr="00C21A8B">
          <w:rPr>
            <w:sz w:val="18"/>
            <w:szCs w:val="18"/>
          </w:rPr>
          <w:fldChar w:fldCharType="begin"/>
        </w:r>
        <w:r w:rsidR="00BC3814" w:rsidRPr="00C21A8B">
          <w:rPr>
            <w:sz w:val="18"/>
            <w:szCs w:val="18"/>
          </w:rPr>
          <w:instrText xml:space="preserve"> PAGE   \* MERGEFORMAT </w:instrText>
        </w:r>
        <w:r w:rsidRPr="00C21A8B">
          <w:rPr>
            <w:sz w:val="18"/>
            <w:szCs w:val="18"/>
          </w:rPr>
          <w:fldChar w:fldCharType="separate"/>
        </w:r>
        <w:r w:rsidR="00E84D6D">
          <w:rPr>
            <w:noProof/>
            <w:sz w:val="18"/>
            <w:szCs w:val="18"/>
          </w:rPr>
          <w:t>2</w:t>
        </w:r>
        <w:r w:rsidRPr="00C21A8B">
          <w:rPr>
            <w:sz w:val="18"/>
            <w:szCs w:val="18"/>
          </w:rPr>
          <w:fldChar w:fldCharType="end"/>
        </w:r>
      </w:p>
      <w:p w:rsidR="00BC3814" w:rsidRPr="00C21A8B" w:rsidRDefault="008A667B" w:rsidP="00C21A8B">
        <w:pPr>
          <w:pStyle w:val="af0"/>
          <w:jc w:val="center"/>
          <w:rPr>
            <w:sz w:val="18"/>
            <w:szCs w:val="1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8FA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67B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0EE8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6D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84F72-F7C3-4784-8DEA-185A0169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8052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3</cp:revision>
  <cp:lastPrinted>2026-02-26T13:20:00Z</cp:lastPrinted>
  <dcterms:created xsi:type="dcterms:W3CDTF">2026-02-26T15:01:00Z</dcterms:created>
  <dcterms:modified xsi:type="dcterms:W3CDTF">2026-02-26T15:10:00Z</dcterms:modified>
</cp:coreProperties>
</file>